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DC0647F" w:rsidR="00F92268" w:rsidRPr="00FF66BF" w:rsidRDefault="0066433A" w:rsidP="00F246C7">
            <w:pPr>
              <w:pStyle w:val="RefTableHeader"/>
            </w:pPr>
            <w:r>
              <w:t>2067-A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9C13CE3" w14:textId="0D27D8AB" w:rsidR="0066433A" w:rsidRDefault="0066433A" w:rsidP="0066433A">
      <w:pPr>
        <w:pStyle w:val="Heading1"/>
      </w:pPr>
      <w:r w:rsidRPr="0066433A">
        <w:t>Specialty Guideline Management</w:t>
      </w:r>
      <w:r w:rsidRPr="00BD1CC1">
        <w:br/>
      </w:r>
      <w:r>
        <w:t>Intramuscular Immune</w:t>
      </w:r>
      <w:r w:rsidR="009B0AF0">
        <w:br/>
      </w:r>
      <w:proofErr w:type="spellStart"/>
      <w:r>
        <w:t>Gama</w:t>
      </w:r>
      <w:r w:rsidR="00E53670">
        <w:t>STAN</w:t>
      </w:r>
      <w:proofErr w:type="spellEnd"/>
    </w:p>
    <w:p w14:paraId="7872834D" w14:textId="57311CFA" w:rsidR="005275F0" w:rsidRDefault="005275F0" w:rsidP="005275F0">
      <w:pPr>
        <w:pStyle w:val="Heading2"/>
      </w:pPr>
      <w:r>
        <w:t>Products Referenced by this Document</w:t>
      </w:r>
    </w:p>
    <w:p w14:paraId="5C2407EC" w14:textId="72D681AE" w:rsidR="005275F0" w:rsidRDefault="005275F0" w:rsidP="005275F0">
      <w:pPr>
        <w:pStyle w:val="BodyText"/>
      </w:pPr>
      <w:r>
        <w:t xml:space="preserve">Drugs that are listed in the following table include both brand and generic and all dosage forms and strengths unless otherwise stated. </w:t>
      </w:r>
      <w:r w:rsidR="00CD49BA" w:rsidRPr="00CD49BA">
        <w:t>Over</w:t>
      </w:r>
      <w:r w:rsidR="009B0AF0">
        <w:t>-</w:t>
      </w:r>
      <w:r w:rsidR="00CD49BA" w:rsidRPr="00CD49BA">
        <w:t>the</w:t>
      </w:r>
      <w:r w:rsidR="009B0AF0">
        <w:t>-</w:t>
      </w:r>
      <w:r w:rsidR="00CD49BA" w:rsidRPr="00CD49BA">
        <w:t>counter (OTC)</w:t>
      </w:r>
      <w:r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6E051D" w:rsidRPr="00BD1CC1" w14:paraId="33159CAE" w14:textId="77777777" w:rsidTr="0098607D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49BEF013" w14:textId="77777777" w:rsidR="006E051D" w:rsidRPr="00BD1CC1" w:rsidRDefault="006E051D" w:rsidP="0098607D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0CE763" w14:textId="77777777" w:rsidR="006E051D" w:rsidRPr="00BD1CC1" w:rsidRDefault="006E051D" w:rsidP="0098607D">
            <w:pPr>
              <w:pStyle w:val="TableHeader"/>
            </w:pPr>
            <w:r w:rsidRPr="00BD1CC1">
              <w:t>Generic Name</w:t>
            </w:r>
          </w:p>
        </w:tc>
      </w:tr>
      <w:tr w:rsidR="006E051D" w:rsidRPr="00BD1CC1" w14:paraId="48C806B1" w14:textId="77777777" w:rsidTr="0098607D">
        <w:trPr>
          <w:cantSplit/>
        </w:trPr>
        <w:tc>
          <w:tcPr>
            <w:tcW w:w="5265" w:type="dxa"/>
          </w:tcPr>
          <w:p w14:paraId="5F287F46" w14:textId="293898F5" w:rsidR="006E051D" w:rsidRPr="00BD1CC1" w:rsidRDefault="006E051D" w:rsidP="0098607D">
            <w:pPr>
              <w:pStyle w:val="TableDataUnpadded"/>
            </w:pPr>
            <w:proofErr w:type="spellStart"/>
            <w:r w:rsidRPr="006E051D">
              <w:t>Gama</w:t>
            </w:r>
            <w:r w:rsidR="00E53670" w:rsidRPr="006E051D">
              <w:t>STAN</w:t>
            </w:r>
            <w:proofErr w:type="spellEnd"/>
          </w:p>
        </w:tc>
        <w:tc>
          <w:tcPr>
            <w:tcW w:w="5595" w:type="dxa"/>
          </w:tcPr>
          <w:p w14:paraId="2FA785E2" w14:textId="55775899" w:rsidR="006E051D" w:rsidRPr="00BD1CC1" w:rsidRDefault="00726741" w:rsidP="0098607D">
            <w:pPr>
              <w:pStyle w:val="TableDataUnpadded"/>
            </w:pPr>
            <w:r>
              <w:t>i</w:t>
            </w:r>
            <w:r w:rsidR="006E051D" w:rsidRPr="006E051D">
              <w:t xml:space="preserve">mmune </w:t>
            </w:r>
            <w:r>
              <w:t>g</w:t>
            </w:r>
            <w:r w:rsidR="006E051D" w:rsidRPr="006E051D">
              <w:t>lobulin [</w:t>
            </w:r>
            <w:r w:rsidR="00B9198C">
              <w:t>h</w:t>
            </w:r>
            <w:r w:rsidR="00B9198C" w:rsidRPr="006E051D">
              <w:t>uman</w:t>
            </w:r>
            <w:r w:rsidR="006E051D" w:rsidRPr="006E051D">
              <w:t>]</w:t>
            </w:r>
          </w:p>
        </w:tc>
      </w:tr>
    </w:tbl>
    <w:p w14:paraId="14CE6108" w14:textId="2A39D54A" w:rsidR="00FC1AAD" w:rsidRPr="00456839" w:rsidRDefault="00ED052F" w:rsidP="00AA2A94">
      <w:pPr>
        <w:pStyle w:val="Heading2"/>
        <w:tabs>
          <w:tab w:val="left" w:pos="9540"/>
        </w:tabs>
      </w:pPr>
      <w:r w:rsidRPr="00456839">
        <w:t>Indications</w:t>
      </w:r>
    </w:p>
    <w:p w14:paraId="02535BFC" w14:textId="6739F8C2" w:rsidR="0066433A" w:rsidRPr="00456839" w:rsidRDefault="0066433A" w:rsidP="0066433A">
      <w:pPr>
        <w:pStyle w:val="BodyText"/>
      </w:pPr>
      <w:r w:rsidRPr="00456839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3C95EE1" w:rsidR="00ED052F" w:rsidRPr="00456839" w:rsidRDefault="00ED052F" w:rsidP="00ED052F">
      <w:pPr>
        <w:pStyle w:val="Heading3"/>
        <w:keepNext w:val="0"/>
      </w:pPr>
      <w:r w:rsidRPr="00456839">
        <w:t>FDA-approved Indications</w:t>
      </w:r>
    </w:p>
    <w:p w14:paraId="21FF0400" w14:textId="77777777" w:rsidR="0066433A" w:rsidRDefault="0066433A" w:rsidP="0066433A">
      <w:pPr>
        <w:pStyle w:val="BodyText"/>
      </w:pPr>
      <w:proofErr w:type="spellStart"/>
      <w:r>
        <w:t>GamaSTAN</w:t>
      </w:r>
      <w:proofErr w:type="spellEnd"/>
      <w:r>
        <w:t xml:space="preserve"> is a human immune globulin indicated for:</w:t>
      </w:r>
    </w:p>
    <w:p w14:paraId="4F493C4E" w14:textId="77777777" w:rsidR="0066433A" w:rsidRDefault="0066433A" w:rsidP="0066433A">
      <w:pPr>
        <w:pStyle w:val="ListParagraph"/>
      </w:pPr>
      <w:r>
        <w:t>Prophylaxis following exposure to hepatitis A</w:t>
      </w:r>
    </w:p>
    <w:p w14:paraId="479B610A" w14:textId="77777777" w:rsidR="0066433A" w:rsidRDefault="0066433A" w:rsidP="0066433A">
      <w:pPr>
        <w:pStyle w:val="ListParagraph"/>
      </w:pPr>
      <w:r>
        <w:t>To prevent or modify measles in a susceptible person exposed fewer than 6 days previously</w:t>
      </w:r>
    </w:p>
    <w:p w14:paraId="2EE69B45" w14:textId="77777777" w:rsidR="0066433A" w:rsidRDefault="0066433A" w:rsidP="0066433A">
      <w:pPr>
        <w:pStyle w:val="ListParagraph"/>
      </w:pPr>
      <w:r>
        <w:t>To modify varicella</w:t>
      </w:r>
    </w:p>
    <w:p w14:paraId="28EBBE77" w14:textId="5FDF695A" w:rsidR="0066433A" w:rsidRPr="0066433A" w:rsidRDefault="0066433A" w:rsidP="0066433A">
      <w:pPr>
        <w:pStyle w:val="ListParagraph"/>
      </w:pPr>
      <w:r>
        <w:t>To modify rubella in exposed women who will not consider a therapeutic abortion</w:t>
      </w:r>
    </w:p>
    <w:p w14:paraId="48085E54" w14:textId="4557B58D" w:rsidR="009A5649" w:rsidRPr="00456839" w:rsidRDefault="00A30ABB" w:rsidP="0066433A">
      <w:pPr>
        <w:pStyle w:val="Heading4"/>
      </w:pPr>
      <w:r>
        <w:t>Limitations of Use</w:t>
      </w:r>
    </w:p>
    <w:p w14:paraId="575C4D6C" w14:textId="77777777" w:rsidR="0066433A" w:rsidRDefault="0066433A" w:rsidP="0066433A">
      <w:pPr>
        <w:pStyle w:val="BodyText"/>
      </w:pPr>
      <w:proofErr w:type="spellStart"/>
      <w:r>
        <w:t>GamaSTAN</w:t>
      </w:r>
      <w:proofErr w:type="spellEnd"/>
      <w:r>
        <w:t xml:space="preserve"> is not standardized with respect to antibody titers against hepatitis B surface antigen (HBsAg) and must not be used for prophylaxis of viral hepatitis type B. Prophylactic treatment to prevent hepatitis B can best be accomplished with use of Hepatitis B Immune Globulin (Human), often in combination with Hepatitis B Vaccine.</w:t>
      </w:r>
    </w:p>
    <w:p w14:paraId="74125B43" w14:textId="77777777" w:rsidR="0066433A" w:rsidRDefault="0066433A" w:rsidP="0066433A">
      <w:pPr>
        <w:pStyle w:val="BodyText"/>
      </w:pPr>
      <w:proofErr w:type="spellStart"/>
      <w:r>
        <w:lastRenderedPageBreak/>
        <w:t>GamaSTAN</w:t>
      </w:r>
      <w:proofErr w:type="spellEnd"/>
      <w:r>
        <w:t xml:space="preserve"> is not indicated for routine prophylaxis or treatment of rubella, poliomyelitis, mumps, or varicella.</w:t>
      </w:r>
    </w:p>
    <w:p w14:paraId="52C59FB0" w14:textId="6E4AACA5" w:rsidR="0066433A" w:rsidRPr="0066433A" w:rsidRDefault="0066433A" w:rsidP="006B3603">
      <w:pPr>
        <w:pStyle w:val="BodyText"/>
        <w:spacing w:after="0"/>
      </w:pPr>
      <w:r>
        <w:t>All other indications are considered experimental/investigational and not medically necessary.</w:t>
      </w:r>
    </w:p>
    <w:p w14:paraId="50A38FBA" w14:textId="50DCBE29" w:rsidR="00FE0C63" w:rsidRPr="00456839" w:rsidRDefault="00685107" w:rsidP="006B3603">
      <w:pPr>
        <w:pStyle w:val="Heading2"/>
        <w:spacing w:after="0"/>
      </w:pPr>
      <w:r>
        <w:t>Coverage Criteria</w:t>
      </w:r>
    </w:p>
    <w:p w14:paraId="5568675A" w14:textId="69DEDA56" w:rsidR="0066433A" w:rsidRDefault="0066433A" w:rsidP="0066433A">
      <w:pPr>
        <w:pStyle w:val="Heading3"/>
      </w:pPr>
      <w:r>
        <w:t>Prophylaxis of hepatitis A</w:t>
      </w:r>
    </w:p>
    <w:p w14:paraId="2151D9BD" w14:textId="2A9FF848" w:rsidR="0066433A" w:rsidRDefault="0066433A" w:rsidP="0066433A">
      <w:pPr>
        <w:pStyle w:val="BodyText"/>
      </w:pPr>
      <w:r>
        <w:t>Authorization of 1 month may be granted for prophylaxis of hepatitis A when one of the following criteria is met:</w:t>
      </w:r>
    </w:p>
    <w:p w14:paraId="5C1AECAB" w14:textId="77777777" w:rsidR="0066433A" w:rsidRDefault="0066433A" w:rsidP="000955B6">
      <w:pPr>
        <w:pStyle w:val="ListParagraph"/>
        <w:numPr>
          <w:ilvl w:val="0"/>
          <w:numId w:val="28"/>
        </w:numPr>
      </w:pPr>
      <w:r>
        <w:t>Member was exposed to hepatitis A virus within the past 2 weeks (e.g., household contact, sexual contact, and childcare center or classroom contact with an infected person), and is NOT exhibiting clinical manifestation of disease OR</w:t>
      </w:r>
    </w:p>
    <w:p w14:paraId="37A336E7" w14:textId="77777777" w:rsidR="000955B6" w:rsidRDefault="0066433A" w:rsidP="000955B6">
      <w:pPr>
        <w:pStyle w:val="ListParagraph"/>
        <w:numPr>
          <w:ilvl w:val="0"/>
          <w:numId w:val="28"/>
        </w:numPr>
      </w:pPr>
      <w:r>
        <w:t>Member is at high risk for hepatitis A exposure (examples of populations at high risk for hepatitis A are travelers to and workers in countries of high endemicity of infection and illicit drug users).</w:t>
      </w:r>
    </w:p>
    <w:p w14:paraId="63812ABB" w14:textId="42CD6A1C" w:rsidR="0066433A" w:rsidRPr="0066433A" w:rsidRDefault="0066433A" w:rsidP="0066433A">
      <w:pPr>
        <w:pStyle w:val="Heading3"/>
        <w:rPr>
          <w:vertAlign w:val="superscript"/>
        </w:rPr>
      </w:pPr>
      <w:r>
        <w:t>Prophylaxis of measles (rubeola)</w:t>
      </w:r>
    </w:p>
    <w:p w14:paraId="6D5127C4" w14:textId="766FDB21" w:rsidR="0066433A" w:rsidRDefault="0066433A" w:rsidP="0066433A">
      <w:pPr>
        <w:pStyle w:val="BodyText"/>
      </w:pPr>
      <w:r>
        <w:t>Authorization of 1 month may be granted for prophylaxis of measles in unvaccinated members who have not had measles previously and were exposed to measles within the past 6 days.</w:t>
      </w:r>
    </w:p>
    <w:p w14:paraId="173256BE" w14:textId="23D4CB7B" w:rsidR="0066433A" w:rsidRDefault="0066433A" w:rsidP="00456839">
      <w:pPr>
        <w:pStyle w:val="Heading3"/>
      </w:pPr>
      <w:r>
        <w:t>Prophylaxis of varicella</w:t>
      </w:r>
    </w:p>
    <w:p w14:paraId="41C31613" w14:textId="4CA9D434" w:rsidR="0066433A" w:rsidRDefault="0066433A" w:rsidP="0066433A">
      <w:pPr>
        <w:pStyle w:val="BodyText"/>
      </w:pPr>
      <w:r>
        <w:t>Authorization of 1 month may be granted for prophylaxis of varicella when all of the following criteria are met:</w:t>
      </w:r>
    </w:p>
    <w:p w14:paraId="638EE2D9" w14:textId="77777777" w:rsidR="00456839" w:rsidRDefault="00456839" w:rsidP="000955B6">
      <w:pPr>
        <w:pStyle w:val="ListParagraph"/>
        <w:numPr>
          <w:ilvl w:val="0"/>
          <w:numId w:val="29"/>
        </w:numPr>
      </w:pPr>
      <w:r>
        <w:t>Member was exposed to varicella within the past 10 days</w:t>
      </w:r>
    </w:p>
    <w:p w14:paraId="7BA197C3" w14:textId="799F9A5F" w:rsidR="00456839" w:rsidRDefault="00456839" w:rsidP="000955B6">
      <w:pPr>
        <w:pStyle w:val="ListParagraph"/>
        <w:numPr>
          <w:ilvl w:val="0"/>
          <w:numId w:val="29"/>
        </w:numPr>
      </w:pPr>
      <w:r>
        <w:t>Member is at high risk for severe varicella (e.g., immunocompromised persons, newborns/infants, pregnant women)</w:t>
      </w:r>
    </w:p>
    <w:p w14:paraId="1F5D8AB0" w14:textId="77777777" w:rsidR="000E2DFC" w:rsidRDefault="00456839" w:rsidP="000955B6">
      <w:pPr>
        <w:pStyle w:val="ListParagraph"/>
        <w:numPr>
          <w:ilvl w:val="0"/>
          <w:numId w:val="29"/>
        </w:numPr>
      </w:pPr>
      <w:r>
        <w:t xml:space="preserve">Varicella zoster immune globulin (e.g., </w:t>
      </w:r>
      <w:proofErr w:type="spellStart"/>
      <w:r>
        <w:t>Varizig</w:t>
      </w:r>
      <w:proofErr w:type="spellEnd"/>
      <w:r>
        <w:t>®) is not available</w:t>
      </w:r>
    </w:p>
    <w:p w14:paraId="1894D74F" w14:textId="7A2965B0" w:rsidR="00456839" w:rsidRDefault="00456839" w:rsidP="00806961">
      <w:pPr>
        <w:pStyle w:val="Heading3"/>
        <w:keepNext w:val="0"/>
        <w:keepLines w:val="0"/>
        <w:widowControl w:val="0"/>
      </w:pPr>
      <w:r>
        <w:t>Prophylaxis of rubella</w:t>
      </w:r>
    </w:p>
    <w:p w14:paraId="2114BD9B" w14:textId="5F2071D7" w:rsidR="00456839" w:rsidRDefault="00456839" w:rsidP="00806961">
      <w:pPr>
        <w:pStyle w:val="BodyText"/>
        <w:widowControl w:val="0"/>
      </w:pPr>
      <w:r>
        <w:t>Authorization of 1 month may be granted for prophylaxis of rubella when both of the following criteria are met:</w:t>
      </w:r>
    </w:p>
    <w:p w14:paraId="33BA96DC" w14:textId="37CBD618" w:rsidR="00456839" w:rsidRDefault="00456839" w:rsidP="000955B6">
      <w:pPr>
        <w:pStyle w:val="ListParagraph"/>
        <w:widowControl w:val="0"/>
        <w:numPr>
          <w:ilvl w:val="0"/>
          <w:numId w:val="30"/>
        </w:numPr>
      </w:pPr>
      <w:r>
        <w:t>Member was recently exposed to rubella</w:t>
      </w:r>
    </w:p>
    <w:p w14:paraId="27B175BE" w14:textId="77777777" w:rsidR="00806961" w:rsidRDefault="00456839" w:rsidP="000955B6">
      <w:pPr>
        <w:pStyle w:val="ListParagraph"/>
        <w:widowControl w:val="0"/>
        <w:numPr>
          <w:ilvl w:val="0"/>
          <w:numId w:val="30"/>
        </w:numPr>
      </w:pPr>
      <w:r>
        <w:t>Member is currently pregnant</w:t>
      </w:r>
    </w:p>
    <w:p w14:paraId="3A643EC3" w14:textId="21E12146" w:rsidR="00A501AC" w:rsidRPr="00456839" w:rsidRDefault="00A501AC" w:rsidP="00806961">
      <w:pPr>
        <w:pStyle w:val="Heading2"/>
        <w:keepNext w:val="0"/>
        <w:widowControl w:val="0"/>
      </w:pPr>
      <w:r w:rsidRPr="00BD1CC1">
        <w:t>Continuation of Therapy</w:t>
      </w:r>
    </w:p>
    <w:p w14:paraId="676417E1" w14:textId="54C64A01" w:rsidR="00693997" w:rsidRDefault="00456839" w:rsidP="00806961">
      <w:pPr>
        <w:pStyle w:val="BodyText"/>
        <w:widowControl w:val="0"/>
      </w:pPr>
      <w:r w:rsidRPr="00456839">
        <w:t>All members (including new members) requesting authorization for continuation of therapy must meet all requirements in the coverage criteria.</w:t>
      </w: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</w:p>
    <w:p w14:paraId="10DA4309" w14:textId="5611DE74" w:rsidR="00FF66BF" w:rsidRPr="008D1B34" w:rsidRDefault="00FF66BF" w:rsidP="00806961">
      <w:pPr>
        <w:pStyle w:val="Heading2"/>
        <w:keepNext w:val="0"/>
        <w:widowControl w:val="0"/>
      </w:pPr>
      <w:r w:rsidRPr="008D1B34">
        <w:t>References</w:t>
      </w:r>
    </w:p>
    <w:p w14:paraId="26E30D59" w14:textId="52D28150" w:rsidR="00456839" w:rsidRDefault="00456839" w:rsidP="00806961">
      <w:pPr>
        <w:pStyle w:val="ReferenceOrdered"/>
        <w:widowControl w:val="0"/>
      </w:pPr>
      <w:proofErr w:type="spellStart"/>
      <w:r>
        <w:t>GamaSTAN</w:t>
      </w:r>
      <w:proofErr w:type="spellEnd"/>
      <w:r>
        <w:t xml:space="preserve"> [package insert]. Research Triangle Park, NC: Grifols Therapeutics, Inc.; August 2022.</w:t>
      </w:r>
    </w:p>
    <w:p w14:paraId="6F83DB88" w14:textId="77777777" w:rsidR="00456839" w:rsidRDefault="00456839" w:rsidP="00806961">
      <w:pPr>
        <w:pStyle w:val="ReferenceOrdered"/>
        <w:widowControl w:val="0"/>
      </w:pPr>
      <w:r w:rsidRPr="00E53670">
        <w:rPr>
          <w:lang w:val="en-IN"/>
        </w:rPr>
        <w:t xml:space="preserve">Nelson NP, Link-Gelles R, Hofmeister MG, et al. </w:t>
      </w:r>
      <w:r>
        <w:t xml:space="preserve">Update: Recommendations of the Advisory Committee on Immunization Practices for Use of Hepatitis A Vaccine for Postexposure Prophylaxis and for Preexposure Prophylaxis for International Travel. MMWR </w:t>
      </w:r>
      <w:proofErr w:type="spellStart"/>
      <w:r>
        <w:t>Morb</w:t>
      </w:r>
      <w:proofErr w:type="spellEnd"/>
      <w:r>
        <w:t xml:space="preserve"> Mortal </w:t>
      </w:r>
      <w:proofErr w:type="spellStart"/>
      <w:r>
        <w:t>Wkly</w:t>
      </w:r>
      <w:proofErr w:type="spellEnd"/>
      <w:r>
        <w:t xml:space="preserve"> Rep 2018;67:1216–1220.</w:t>
      </w:r>
    </w:p>
    <w:p w14:paraId="3089E632" w14:textId="77777777" w:rsidR="00456839" w:rsidRDefault="00456839" w:rsidP="00806961">
      <w:pPr>
        <w:pStyle w:val="ReferenceOrdered"/>
        <w:widowControl w:val="0"/>
      </w:pPr>
      <w:r>
        <w:t>Centers for Disease Control and Prevention. Prevention of Measles, Rubella, Congenital Rubella Syndrome, and Mumps, 2013. Summary Recommendations of the Advisory Committee on Immunization Practices (ACIP). MMWR. 2013;62(4).</w:t>
      </w:r>
    </w:p>
    <w:p w14:paraId="47E1A10C" w14:textId="36F4F65E" w:rsidR="00C44990" w:rsidRPr="009B0AF0" w:rsidRDefault="00456839" w:rsidP="00E41BD8">
      <w:pPr>
        <w:pStyle w:val="ReferenceOrdered"/>
        <w:widowControl w:val="0"/>
      </w:pPr>
      <w:r>
        <w:t xml:space="preserve">Centers for Disease Control and Prevention Health Information for International Travel (Yellow Book). </w:t>
      </w:r>
      <w:r w:rsidRPr="00375965">
        <w:rPr>
          <w:lang w:val="it-IT"/>
        </w:rPr>
        <w:t xml:space="preserve">Varicella (Chickenpox). https://wwwnc.cdc.gov/travel/yellowbook/2024/infections-diseases/varicella-chickenpox. </w:t>
      </w:r>
      <w:r>
        <w:t>Accessed May 15, 2024.</w:t>
      </w:r>
    </w:p>
    <w:sectPr w:rsidR="00C44990" w:rsidRPr="009B0AF0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8B0D4" w14:textId="77777777" w:rsidR="00DE2276" w:rsidRDefault="00DE2276">
      <w:r>
        <w:separator/>
      </w:r>
    </w:p>
  </w:endnote>
  <w:endnote w:type="continuationSeparator" w:id="0">
    <w:p w14:paraId="37A1B9A3" w14:textId="77777777" w:rsidR="00DE2276" w:rsidRDefault="00DE2276">
      <w:r>
        <w:continuationSeparator/>
      </w:r>
    </w:p>
  </w:endnote>
  <w:endnote w:type="continuationNotice" w:id="1">
    <w:p w14:paraId="17BC18E7" w14:textId="77777777" w:rsidR="00DE2276" w:rsidRDefault="00DE22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45A3FE5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386438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B0776" w:rsidRPr="003B0776">
      <w:rPr>
        <w:rFonts w:cs="Arial"/>
        <w:noProof/>
        <w:sz w:val="16"/>
        <w:szCs w:val="16"/>
        <w:lang w:val="it-IT"/>
      </w:rPr>
      <w:t>GamaSTAN</w:t>
    </w:r>
    <w:r w:rsidR="003B0776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2067-A</w:t>
    </w:r>
    <w:r w:rsidR="003B0776" w:rsidRPr="003B0776">
      <w:rPr>
        <w:rFonts w:cs="Arial"/>
        <w:noProof/>
        <w:sz w:val="16"/>
        <w:szCs w:val="16"/>
        <w:lang w:val="it-IT"/>
      </w:rPr>
      <w:t xml:space="preserve"> </w:t>
    </w:r>
    <w:r w:rsidR="0001188A">
      <w:rPr>
        <w:rFonts w:cs="Arial"/>
        <w:noProof/>
        <w:sz w:val="16"/>
        <w:szCs w:val="16"/>
        <w:lang w:val="it-IT"/>
      </w:rPr>
      <w:t>P</w:t>
    </w:r>
    <w:r w:rsidR="003B0776" w:rsidRPr="003B0776">
      <w:rPr>
        <w:rFonts w:cs="Arial"/>
        <w:noProof/>
        <w:sz w:val="16"/>
        <w:szCs w:val="16"/>
        <w:lang w:val="it-IT"/>
      </w:rPr>
      <w:t>2024</w:t>
    </w:r>
    <w:r w:rsidR="003B0776">
      <w:rPr>
        <w:rFonts w:cs="Arial"/>
        <w:noProof/>
        <w:snapToGrid w:val="0"/>
        <w:color w:val="000000"/>
        <w:sz w:val="16"/>
        <w:szCs w:val="16"/>
        <w:lang w:val="it-IT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386438">
      <w:rPr>
        <w:rFonts w:cs="Arial"/>
        <w:snapToGrid w:val="0"/>
        <w:color w:val="000000"/>
        <w:sz w:val="16"/>
        <w:lang w:val="it-IT"/>
      </w:rPr>
      <w:tab/>
      <w:t>© 202</w:t>
    </w:r>
    <w:r w:rsidR="008B6DBE" w:rsidRPr="00386438">
      <w:rPr>
        <w:rFonts w:cs="Arial"/>
        <w:snapToGrid w:val="0"/>
        <w:color w:val="000000"/>
        <w:sz w:val="16"/>
        <w:lang w:val="it-IT"/>
      </w:rPr>
      <w:t>4</w:t>
    </w:r>
    <w:r w:rsidRPr="00386438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527DD22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7743D78" w:rsidR="00F75C81" w:rsidRPr="009B0AF0" w:rsidRDefault="00C36B72" w:rsidP="009B0AF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6CF551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386438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B0AF0" w:rsidRPr="009B0AF0">
      <w:rPr>
        <w:rFonts w:cs="Arial"/>
        <w:noProof/>
        <w:sz w:val="16"/>
        <w:szCs w:val="16"/>
        <w:lang w:val="it-IT"/>
      </w:rPr>
      <w:t>GamaSTAN</w:t>
    </w:r>
    <w:r w:rsidR="009B0AF0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2067-A</w:t>
    </w:r>
    <w:r w:rsidR="009B0AF0" w:rsidRPr="009B0AF0">
      <w:rPr>
        <w:rFonts w:cs="Arial"/>
        <w:noProof/>
        <w:sz w:val="16"/>
        <w:szCs w:val="16"/>
        <w:lang w:val="it-IT"/>
      </w:rPr>
      <w:t xml:space="preserve"> </w:t>
    </w:r>
    <w:r w:rsidR="0001188A">
      <w:rPr>
        <w:rFonts w:cs="Arial"/>
        <w:noProof/>
        <w:sz w:val="16"/>
        <w:szCs w:val="16"/>
        <w:lang w:val="it-IT"/>
      </w:rPr>
      <w:t>P</w:t>
    </w:r>
    <w:r w:rsidR="009B0AF0" w:rsidRPr="009B0AF0">
      <w:rPr>
        <w:rFonts w:cs="Arial"/>
        <w:noProof/>
        <w:sz w:val="16"/>
        <w:szCs w:val="16"/>
        <w:lang w:val="it-IT"/>
      </w:rPr>
      <w:t>2024</w:t>
    </w:r>
    <w:r w:rsidR="009B0AF0">
      <w:rPr>
        <w:rFonts w:cs="Arial"/>
        <w:noProof/>
        <w:snapToGrid w:val="0"/>
        <w:color w:val="000000"/>
        <w:sz w:val="16"/>
        <w:szCs w:val="16"/>
        <w:lang w:val="it-IT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386438">
      <w:rPr>
        <w:rFonts w:cs="Arial"/>
        <w:snapToGrid w:val="0"/>
        <w:color w:val="000000"/>
        <w:sz w:val="16"/>
        <w:lang w:val="it-IT"/>
      </w:rPr>
      <w:tab/>
      <w:t>© 202</w:t>
    </w:r>
    <w:r w:rsidR="00D74279" w:rsidRPr="00386438">
      <w:rPr>
        <w:rFonts w:cs="Arial"/>
        <w:snapToGrid w:val="0"/>
        <w:color w:val="000000"/>
        <w:sz w:val="16"/>
        <w:lang w:val="it-IT"/>
      </w:rPr>
      <w:t>4</w:t>
    </w:r>
    <w:r w:rsidRPr="00386438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5A99929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1B72277" w:rsidR="00ED04EC" w:rsidRPr="00F50D98" w:rsidRDefault="00F50D98" w:rsidP="00077B1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6EB3" w14:textId="77777777" w:rsidR="00DE2276" w:rsidRDefault="00DE2276">
      <w:r>
        <w:separator/>
      </w:r>
    </w:p>
  </w:footnote>
  <w:footnote w:type="continuationSeparator" w:id="0">
    <w:p w14:paraId="61F73085" w14:textId="77777777" w:rsidR="00DE2276" w:rsidRDefault="00DE2276">
      <w:r>
        <w:continuationSeparator/>
      </w:r>
    </w:p>
  </w:footnote>
  <w:footnote w:type="continuationNotice" w:id="1">
    <w:p w14:paraId="116BD773" w14:textId="77777777" w:rsidR="00DE2276" w:rsidRDefault="00DE22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B3603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B0AF0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B0AF0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B3603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5197200" w:rsidR="00ED04EC" w:rsidRPr="006B3603" w:rsidRDefault="0066433A" w:rsidP="00ED04EC">
          <w:pPr>
            <w:pStyle w:val="Header"/>
            <w:rPr>
              <w:rFonts w:cs="Arial"/>
              <w:sz w:val="16"/>
              <w:szCs w:val="16"/>
            </w:rPr>
          </w:pPr>
          <w:r w:rsidRPr="006B3603">
            <w:rPr>
              <w:rFonts w:cs="Arial"/>
              <w:sz w:val="16"/>
              <w:szCs w:val="16"/>
            </w:rPr>
            <w:t>2067-A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A5A58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163E7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46C71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8"/>
  </w:num>
  <w:num w:numId="18" w16cid:durableId="299724409">
    <w:abstractNumId w:val="23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9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5"/>
  </w:num>
  <w:num w:numId="26" w16cid:durableId="1950313333">
    <w:abstractNumId w:val="21"/>
  </w:num>
  <w:num w:numId="27" w16cid:durableId="1866016584">
    <w:abstractNumId w:val="17"/>
  </w:num>
  <w:num w:numId="28" w16cid:durableId="2117172571">
    <w:abstractNumId w:val="20"/>
  </w:num>
  <w:num w:numId="29" w16cid:durableId="1593591051">
    <w:abstractNumId w:val="19"/>
  </w:num>
  <w:num w:numId="30" w16cid:durableId="632977162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88A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B12"/>
    <w:rsid w:val="00077C0D"/>
    <w:rsid w:val="00077DB2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5B6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DFC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55AA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2EB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5965"/>
    <w:rsid w:val="0037664E"/>
    <w:rsid w:val="003777A6"/>
    <w:rsid w:val="00377D50"/>
    <w:rsid w:val="00381B05"/>
    <w:rsid w:val="00381B16"/>
    <w:rsid w:val="0038248C"/>
    <w:rsid w:val="00382C29"/>
    <w:rsid w:val="00382C85"/>
    <w:rsid w:val="00382FFE"/>
    <w:rsid w:val="0038309E"/>
    <w:rsid w:val="00384D85"/>
    <w:rsid w:val="0038594B"/>
    <w:rsid w:val="00385C81"/>
    <w:rsid w:val="00386438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0776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3ABB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DC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839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04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2F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49A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5F0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2D0A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433A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02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60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51D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AF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41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6961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370B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13F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5E0A"/>
    <w:rsid w:val="009A6D30"/>
    <w:rsid w:val="009A78A9"/>
    <w:rsid w:val="009B0854"/>
    <w:rsid w:val="009B0ADA"/>
    <w:rsid w:val="009B0AF0"/>
    <w:rsid w:val="009B0D75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22A"/>
    <w:rsid w:val="00B113E6"/>
    <w:rsid w:val="00B12088"/>
    <w:rsid w:val="00B128A7"/>
    <w:rsid w:val="00B12E8C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198C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0A5A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E7F28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54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3ED0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49BA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27A5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099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6A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276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670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5FD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659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61FC-2FD6-4BC0-8DA9-6C13F1D06F75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GamaSTAN 2067-A SGM 2024</vt:lpstr>
    </vt:vector>
  </TitlesOfParts>
  <Company>PCS Health Systems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GamaSTAN 2067-A SGM 2024</dc:title>
  <dc:subject/>
  <dc:creator>CVS Caremark</dc:creator>
  <cp:keywords/>
  <cp:lastModifiedBy>Huerta, Linda M</cp:lastModifiedBy>
  <cp:revision>4</cp:revision>
  <cp:lastPrinted>2018-01-09T11:01:00Z</cp:lastPrinted>
  <dcterms:created xsi:type="dcterms:W3CDTF">2024-10-28T14:51:00Z</dcterms:created>
  <dcterms:modified xsi:type="dcterms:W3CDTF">2024-11-13T17:47:00Z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1629800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